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Bookman Old Style" w:hAnsi="Bookman Old Style"/>
          <w:sz w:val="32"/>
          <w:szCs w:val="32"/>
          <w:u w:val="single"/>
        </w:rPr>
      </w:pPr>
      <w:r>
        <w:rPr>
          <w:rFonts w:ascii="Bookman Old Style" w:hAnsi="Bookman Old Style"/>
          <w:sz w:val="32"/>
          <w:szCs w:val="32"/>
        </w:rPr>
        <w:t xml:space="preserve">                            </w:t>
      </w:r>
      <w:bookmarkStart w:id="0" w:name="_GoBack"/>
      <w:bookmarkEnd w:id="0"/>
      <w:r>
        <w:rPr>
          <w:rFonts w:ascii="Bookman Old Style" w:hAnsi="Bookman Old Style"/>
          <w:sz w:val="32"/>
          <w:szCs w:val="32"/>
          <w:u w:val="single"/>
        </w:rPr>
        <w:t xml:space="preserve"> </w:t>
      </w:r>
      <w:r>
        <w:rPr>
          <w:rFonts w:ascii="Bookman Old Style" w:hAnsi="Bookman Old Style"/>
          <w:sz w:val="32"/>
          <w:szCs w:val="32"/>
          <w:u w:val="single"/>
        </w:rPr>
        <w:t>ΒΡΑΒΕΙΑ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Βραβείο-Ειδική Μνεία: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Απονέμεται στ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ον Σπύρο Νικολογιάννη για το ρόλο του Ιορδάνη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σ</w:t>
      </w:r>
      <w:bookmarkStart w:id="1" w:name="%25_1_Αντίγραφο_12"/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εατρικό εργαστήρι Σπάτων ‘ΣΚΗΝΟΒΑΤΕΣ’</w:t>
      </w:r>
      <w:bookmarkEnd w:id="1"/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2) Απονέμεται  στην Βασιλική Σκευοφύλαξ  για τη 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σύνθεση κειμένων στο έργο 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</w:rPr>
        <w:t xml:space="preserve">«Η δημοκρατία μας είναι διασφαλισμένη Τελεία.» του Θανάση Τριαρίδη σε σκηνοθεσία δική της από τη θεατρική ομάδα ‘Επικίνδυνη Δευτέρα’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          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el-GR"/>
        </w:rPr>
        <w:t xml:space="preserve">        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Ειδικ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ό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 Βραβεί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ο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: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1) </w:t>
      </w:r>
      <w:r>
        <w:rPr>
          <w:rFonts w:ascii="Bookman Old Style" w:hAnsi="Bookman Old Style"/>
          <w:sz w:val="24"/>
          <w:szCs w:val="24"/>
        </w:rPr>
        <w:t xml:space="preserve">Βραβείο </w:t>
      </w:r>
      <w:r>
        <w:rPr>
          <w:rFonts w:ascii="Bookman Old Style" w:hAnsi="Bookman Old Style"/>
          <w:sz w:val="24"/>
          <w:szCs w:val="24"/>
        </w:rPr>
        <w:t xml:space="preserve">δουλειάς συνόλου </w:t>
      </w:r>
      <w:bookmarkStart w:id="2" w:name="_Hlk177990626"/>
      <w:r>
        <w:rPr>
          <w:rFonts w:ascii="Bookman Old Style" w:hAnsi="Bookman Old Style"/>
          <w:sz w:val="24"/>
          <w:szCs w:val="24"/>
        </w:rPr>
        <w:t xml:space="preserve">για την παράσταση 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  <w:lang w:val="el-GR"/>
        </w:rPr>
        <w:t xml:space="preserve">«Η δικιά μας Μαργαρίτα» ελεύθερη απόδοση του διηγήματος “Μαργαρίτα Περδικάρη” του Δ.Χατζή 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  <w:lang w:val="el-GR"/>
        </w:rPr>
        <w:t>από τη θεατρική ομάδα Πλους ‘Ε.Κ.Π.Α’</w:t>
      </w:r>
      <w:bookmarkEnd w:id="2"/>
      <w:r>
        <w:rPr>
          <w:rFonts w:cs="Bookman Old Style" w:ascii="Bookman Old Style" w:hAnsi="Bookman Old Style"/>
          <w:b w:val="false"/>
          <w:bCs w:val="false"/>
          <w:sz w:val="24"/>
          <w:szCs w:val="24"/>
          <w:lang w:val="el-GR"/>
        </w:rPr>
        <w:t xml:space="preserve"> 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  <w:lang w:val="el-GR"/>
        </w:rPr>
        <w:t>σε σκηνοθεσία Τάκη Τζαμαργιά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color w:val="222222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color w:val="222222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b/>
          <w:bCs/>
          <w:color w:val="222222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color w:val="222222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el-GR"/>
        </w:rPr>
        <w:t xml:space="preserve">                  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Επιμέλειας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 Φ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ωτισμού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Υποψήφιοι είναι: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el-GR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non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non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non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1)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Βασίλης Κοντογιάννης και Βασίλης Τριανταφύλλου</w:t>
      </w:r>
      <w:bookmarkStart w:id="3" w:name="_Hlk177988160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 </w:t>
      </w:r>
      <w:bookmarkEnd w:id="3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για την παράσταση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«Η ιστορία μιας σκάλας» του Αντόνιο Μπουέρο Βαγέχο σε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σκηνοθεσία Βασίλη Τριανταφύλλου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εατρική ομάδα Περάματος ‘ΕΠΙ ΣΚΗΝΗΣ’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2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)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Κωνσταντίνα Τσακνάκη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</w:t>
      </w:r>
      <w:bookmarkStart w:id="4" w:name="%25_1_Αντίγραφο_9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εατρικό εργαστήρι Σπάτων ‘ΣΚΗΝΟΒΑΤΕΣ’</w:t>
      </w:r>
      <w:bookmarkEnd w:id="4"/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3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Παναγιώτης Παναγόπουλος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bookmarkStart w:id="5" w:name="%25_1_Αντίγραφο_10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bookmarkEnd w:id="5"/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απονέμεται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στον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Παναγιώτη Παναγόπουλο </w:t>
      </w:r>
      <w:bookmarkStart w:id="6" w:name="%25_1_Αντίγραφο_11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bookmarkEnd w:id="6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Μουσικής Επιμέλειας: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: 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1) </w:t>
      </w:r>
      <w:bookmarkStart w:id="7" w:name="_Hlk177988105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Τ</w:t>
      </w:r>
      <w:bookmarkEnd w:id="7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όνια Τσαπράζη και Δανάη Τσιρώνη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για την παράσταση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ιστορία μιας σκάλας» του Αντόνιο Μπουέρο Βαγέχο σε σκηνοθεσία Βασίλη Τριανταφύλλου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εατρική ομάδα Περάματος ‘ΕΠΙ ΣΚΗΝΗΣ’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Θωμάς Φώτης και Κατερίνα Μπουζάνη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«Αριστερόχειρες» της Νεφέλης Μαϊστράλη σε σκηνοθεσία Κατερίνας Μπουζάνη 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εατρική Ομάδα ‘Κλεψύδρα’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3) </w:t>
      </w:r>
      <w:bookmarkStart w:id="8" w:name="_Hlk177988130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Κατερίνα Μπλάτσου </w:t>
      </w:r>
      <w:bookmarkEnd w:id="8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σπασμένη στάμνα» του Χάινριχ φον Κλάιστ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από τη θεατρική ομάδα Παπάγου-Χολαργού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απονέμεται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στις:  </w:t>
      </w:r>
      <w:bookmarkStart w:id="9" w:name="%25_1_Αντίγραφο_8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Τ</w:t>
      </w:r>
      <w:bookmarkEnd w:id="9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όνια Τσαπράζη και Δανάη Τσιρώνη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για την παράσταση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 xml:space="preserve">«Η ιστορία μιας σκάλας» του Αντόνιο Μπουέρο Βαγέχο σε σκηνοθεσία Βασίλη Τριανταφύλλου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εατρική ομάδα Περάματος ‘ΕΠΙ ΣΚΗΝΗΣ’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Πρωτότυπης Μουσικής: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: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1) </w:t>
      </w:r>
      <w:bookmarkStart w:id="10" w:name="_Hlk177987018"/>
      <w:bookmarkStart w:id="11" w:name="_Hlk177986872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Ροδούλα Χαντζή </w:t>
      </w:r>
      <w:bookmarkStart w:id="12" w:name="_Hlk177990459"/>
      <w:bookmarkStart w:id="13" w:name="_Hlk177988726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bookmarkEnd w:id="10"/>
      <w:bookmarkEnd w:id="11"/>
      <w:bookmarkEnd w:id="13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ab/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bookmarkEnd w:id="12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Δημήτρης Τσαόπουλος</w:t>
      </w:r>
      <w:bookmarkStart w:id="14" w:name="_Hlk177990184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bookmarkEnd w:id="14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βεγγέρα» του Ηλία Καπετανάκη σε σκηνοθεσία Ανδρομάχης Μαρκοπούλου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την </w:t>
      </w:r>
      <w:bookmarkStart w:id="15" w:name="%25_1_Αντίγραφο_6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Κεντρική Σκηνή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 Δήμου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Μαραθώνα</w:t>
      </w:r>
      <w:bookmarkEnd w:id="15"/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3)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Πάνος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Κορογιαννάκης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«Η δικιά μας Μαργαρίτα» ελεύθερη απόδοση του διηγήματος “Μαργαρίτα Περδικάρη” του Δ.Χατζή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>από τη θεατρική ομάδα Πλους ‘Ε.Κ.Π.Α’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μοιράζεται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στη Ροδούλα Χαντζή</w:t>
      </w:r>
      <w:bookmarkStart w:id="16" w:name="%25_1_Αντίγραφο_7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bookmarkEnd w:id="16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και στον Πάνο Κορογιαννάκη 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val="el-GR" w:eastAsia="el-GR"/>
        </w:rPr>
        <w:t xml:space="preserve">«Η δικιά μας Μαργαρίτα» ελεύθερη απόδοση του διηγήματος “Μαργαρίτα Περδικάρη” του Δ.Χατζή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val="el-GR" w:eastAsia="el-GR"/>
        </w:rPr>
        <w:t xml:space="preserve">από τη θεατρική ομάδα Πλους ‘Ε.Κ.Π.Α’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val="el-GR" w:eastAsia="el-GR"/>
        </w:rPr>
        <w:t>σε σκηνοθεσία Τάκη Τζαμαργιά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χορογραφίας: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  <w:u w:val="none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είναι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Μαριμίλλη Ασημακοπούλου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«Όρνθες» του Αριστοφάνη σε σκηνοθεσία Βικ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τωρίας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 Αγγελοπούλου από τη θεατρική ομάδα ‘ΣφήγΚΕΣ’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Ανδρομάχη Μαρκοπούλου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βεγγέρα» του Ηλία Καπετανάκη σε σκηνοθεσία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της ίδιας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την </w:t>
      </w:r>
      <w:bookmarkStart w:id="17" w:name="%25_1_Αντίγραφο_5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Κεντρική Σκηνή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 Δήμου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Μαραθώνα</w:t>
      </w:r>
      <w:bookmarkEnd w:id="17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 w:val="false"/>
          <w:bCs w:val="false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Το βραβείο απονέμεται στ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η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ν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Μαριμίλλη Ασημακοπούλου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«Όρνθες» του Αριστοφάνη σε σκηνοθεσία Βικτ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ωρίας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 xml:space="preserve"> Αγγελοπούλου από τη θεατρική ομάδα ‘ΣφήγΚΕΣ’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κοστουμιών: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Ανδρομάχη Μαρκοπούλου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βεγγέρα» του Ηλία Καπετανάκη σε σκηνοθεσία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της ίδιας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την </w:t>
      </w:r>
      <w:bookmarkStart w:id="18" w:name="%25_1_Αντίγραφο_4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Κεντρική Σκηνή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 Δήμου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Μαραθώνα</w:t>
      </w:r>
      <w:bookmarkEnd w:id="18"/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Νάντια Κόστα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>Σταυρούλα Μόκα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u w:val="none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σπασμένη στάμνα» του Χάινριχ φον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 Κλάιστ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σε σκηνοθεσία Κατερίνας Μπλάτσου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από τη θεατρική ομάδα Παπάγου-Χολαργού </w:t>
      </w:r>
      <w:bookmarkStart w:id="19" w:name="_Hlk177989028"/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bookmarkEnd w:id="19"/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Βικτωρία Αγγελοπούλου 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«Όρνθες»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 του Αριστοφάνη σε σκηνοθεσία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της ίδιας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 από τη θεατρική ομάδα ‘ΣφήγΚΕΣ’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απονέμεται στη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Νάντια Κόστα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Σκηνικών: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: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 w:val="false"/>
          <w:bCs w:val="false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1</w:t>
      </w:r>
      <w:bookmarkStart w:id="20" w:name="_Hlk177989294"/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) </w:t>
      </w:r>
      <w:bookmarkEnd w:id="20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Εύη Λουκά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</w:t>
      </w:r>
      <w:bookmarkStart w:id="21" w:name="%25_1_Αντίγραφο_2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εατρικό εργαστήρι Σπάτων ‘ΣΚΗΝΟΒΑΤΕΣ’</w:t>
      </w:r>
      <w:bookmarkEnd w:id="21"/>
    </w:p>
    <w:p>
      <w:pPr>
        <w:pStyle w:val="ListParagraph"/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    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Βασίλης Τριανταφύλλου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για την παράσταση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ιστορία μιας σκάλας» του Αντόνιο Μπουέρο Βαγέχο σε σκηνοθεσία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του ίδιου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εατρική ομάδα Περάματος ‘ΕΠΙ ΣΚΗΝΗΣ’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3)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Ανδρομάχη Μαρκοπούλου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βεγγέρα» του Ηλία Καπετανάκη σε σκηνοθεσία Ανδρομάχης Μαρκοπούλου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την </w:t>
      </w:r>
      <w:bookmarkStart w:id="22" w:name="_Hlk177989630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Κεντρική Σκηνή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 Δήμου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Μαραθώνα</w:t>
      </w:r>
      <w:bookmarkEnd w:id="22"/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ab/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απονέμεται στην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Εύη Λουκά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</w:t>
      </w:r>
      <w:bookmarkStart w:id="23" w:name="%25_1_Αντίγραφο_3"/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εατρικό εργαστήρι Σπάτων ‘ΣΚΗΝΟΒΑΤΕΣ’</w:t>
      </w:r>
      <w:bookmarkEnd w:id="23"/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β’ αν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δρ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ικού ρόλου: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είναι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numPr>
          <w:ilvl w:val="0"/>
          <w:numId w:val="4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Απόστολος Τσακαλίκας στο ρόλο του Κοινοτάρχη και Χωροφύλακα για τη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«Αριστερόχειρες» της Νεφέλης Μαϊστράλη σε σκηνοθεσία Κατερίνας Μπουζάνη από τη θ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εατρική Ομάδα ‘Κλεψύδρα’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       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2)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Σωτήρης Αντάρης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στο ρόλο του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Στράτου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για </w:t>
      </w:r>
      <w:bookmarkStart w:id="24" w:name="_Hlk177990896"/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«Η αυλή των θαυμάτων» του Ιάκωβου Καμπανέλλη σε σκηνοθεσία Ευδοκίας Σουβατζή Θεατρικό εργαστήρι Σπάτων ‘ΣΚΗΝΟΒΑΤΕΣ’</w:t>
      </w:r>
      <w:bookmarkEnd w:id="24"/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 w:eastAsia="Times New Roman" w:cs="Bookman Old Style"/>
          <w:sz w:val="24"/>
          <w:szCs w:val="24"/>
          <w:lang w:eastAsia="el-GR"/>
        </w:rPr>
      </w:pP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     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3) Βασίλης Λαδικός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το ρόλο του Δικαστή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Βάλτερ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«Η σπασμένη στάμνα» του Χάινριχ φον Κλάιστ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από τη θεατρική ομάδα Παπάγου-Χολαργού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απονέμεται στον 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 xml:space="preserve">Βασίλη Λαδικό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το ρόλο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του Δικαστή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Βάλτερ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σπασμένη στάμνα» του Χάινριχ φον Κλάιστ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από τη θεατρική ομάδα Παπάγου-Χολαργού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Βραβείο β’ Γυναικείου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ρόλου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Υποψήφιες: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Δανάη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Τσιρώνη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στο ρόλο της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Πάκα για την παράσταση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«Η ιστορία μιας σκάλας» του Αντόνιο Μπουέρο Βαγέχο σε σκηνοθεσία Βασίλη Τριανταφύλλου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εατρική ομάδα Περάματος ‘ΕΠΙ ΣΚΗΝΗΣ’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Κωνσταντίνα Γεραμάνη και η Άννα Τσαοπούλου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(ως ντουέτο)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στο ρόλο της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Πιπίνας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και Λεονί αντίστοιχα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για 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«Η βεγγέρα» του Ηλία Καπετανάκη σε σκηνοθεσία Ανδρομάχης Μαρκοπούλου </w:t>
      </w:r>
      <w:r>
        <w:rPr>
          <w:rFonts w:eastAsia="Bookman Old Style" w:cs="Bookman Old Style" w:ascii="Bookman Old Style" w:hAnsi="Bookman Old Style"/>
          <w:sz w:val="24"/>
          <w:szCs w:val="24"/>
          <w:lang w:eastAsia="el-GR"/>
        </w:rPr>
        <w:t xml:space="preserve"> </w:t>
      </w:r>
      <w:r>
        <w:rPr>
          <w:rFonts w:eastAsia="Bookman Old Style" w:cs="Bookman Old Style" w:ascii="Bookman Old Style" w:hAnsi="Bookman Old Style"/>
          <w:sz w:val="24"/>
          <w:szCs w:val="24"/>
          <w:lang w:eastAsia="el-GR"/>
        </w:rPr>
        <w:t>από την κ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εντρική Σκηνή</w:t>
      </w:r>
      <w:r>
        <w:rPr>
          <w:rFonts w:eastAsia="Times New Roman" w:cs="Bookman Old Style" w:ascii="Bookman Old Style" w:hAnsi="Bookman Old Style"/>
          <w:sz w:val="24"/>
          <w:szCs w:val="24"/>
          <w:lang w:val="el-GR" w:eastAsia="el-GR"/>
        </w:rPr>
        <w:t xml:space="preserve"> Δήμου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Μαραθώνα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Μαρία Στίνη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στο ρόλο της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κυρίας Τζούλια Γκίμπς για 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«Η μικρή μας πόλη» του Θόρντον Ουάιλντερ σε σκηνοθεσία Παναγιώτη Παναγόπουλου από τη θεατρική ομάδα ‘Μοίρανθος’ του Συλλόγου Ανθέων ‘Η Άνοιξη’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Εύη Λουκά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το ρόλο ‘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Αννετώ’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>από το</w:t>
      </w:r>
      <w:r>
        <w:rPr>
          <w:rFonts w:eastAsia="Times New Roman" w:cs="Bookman Old Style" w:ascii="Bookman Old Style" w:hAnsi="Bookman Old Style"/>
          <w:sz w:val="24"/>
          <w:szCs w:val="24"/>
          <w:lang w:eastAsia="el-GR"/>
        </w:rPr>
        <w:t xml:space="preserve"> Θεατρικό εργαστήρι Σπάτων ‘ΣΚΗΝΟΒΑΤΕΣ’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απονέμεται στην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Εύη Λουκά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το ρόλο ‘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Αννετώ’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αυλή των θαυμάτων» του Ιάκωβου Καμπανέλλη σε σκηνοθεσία Ευδοκίας Σουβατζή Θεατρικό εργαστήρι Σπάτων ‘ΣΚΗΝΟΒΑΤΕΣ’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/>
          <w:sz w:val="24"/>
          <w:szCs w:val="24"/>
          <w:u w:val="single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Α΄αν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δρ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ικού 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ρόλου</w:t>
      </w: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6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bookmarkStart w:id="25" w:name="_Hlk177991146"/>
      <w:bookmarkStart w:id="26" w:name="_Hlk177991506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Μιχάλης Δελαβίνιας για το ρόλο του Δικαστή Αδάμ στην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«Η σπασμένη στάμνα» του Χάινριχ φον Κλάιστ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από τη θεατρική ομάδα Παπάγου-Χολαργού</w:t>
      </w:r>
      <w:bookmarkEnd w:id="25"/>
      <w:bookmarkEnd w:id="26"/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Κυριάκος Σαββόγλου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το ρόλο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Στέλιου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αυλή των θαυμάτων» του Ιάκωβου Καμπανέλλη σε σκηνοθεσία Ευδοκίας Σουβατζή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εατρικό εργαστήρι Σπάτων ‘ΣΚΗΝΟΒΑΤΕΣ’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απονέμεται στον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Μιχάλη Δελαβίνια για το ρόλο του Δικαστή Αδάμ  στην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«Η σπασμένη στάμνα» του Χάινριχ φον Κλάιστ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από τη θεατρική ομάδα Παπάγου-Χολαργού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 w:eastAsia="Times New Roman" w:cs="Arial"/>
          <w:b/>
          <w:bCs/>
          <w:i w:val="false"/>
          <w:i w:val="false"/>
          <w:iCs w:val="false"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i w:val="false"/>
          <w:iCs w:val="false"/>
          <w:sz w:val="24"/>
          <w:szCs w:val="24"/>
          <w:u w:val="none"/>
          <w:lang w:eastAsia="el-GR"/>
        </w:rPr>
        <w:t xml:space="preserve"> </w:t>
      </w:r>
      <w:r>
        <w:rPr>
          <w:rFonts w:eastAsia="Times New Roman" w:cs="Arial" w:ascii="Bookman Old Style" w:hAnsi="Bookman Old Style"/>
          <w:b/>
          <w:bCs/>
          <w:i w:val="false"/>
          <w:iCs w:val="false"/>
          <w:sz w:val="24"/>
          <w:szCs w:val="24"/>
          <w:u w:val="single"/>
          <w:lang w:eastAsia="el-GR"/>
        </w:rPr>
        <w:t xml:space="preserve">Βραβείο Α’ γυναικείου </w:t>
      </w:r>
      <w:r>
        <w:rPr>
          <w:rFonts w:eastAsia="Times New Roman" w:cs="Arial" w:ascii="Bookman Old Style" w:hAnsi="Bookman Old Style"/>
          <w:b/>
          <w:bCs/>
          <w:i w:val="false"/>
          <w:iCs w:val="false"/>
          <w:sz w:val="24"/>
          <w:szCs w:val="24"/>
          <w:u w:val="single"/>
          <w:lang w:eastAsia="el-GR"/>
        </w:rPr>
        <w:t>ρόλου</w:t>
      </w:r>
      <w:r>
        <w:rPr>
          <w:rFonts w:eastAsia="Times New Roman" w:cs="Arial" w:ascii="Bookman Old Style" w:hAnsi="Bookman Old Style"/>
          <w:b/>
          <w:bCs/>
          <w:i w:val="false"/>
          <w:iCs w:val="false"/>
          <w:sz w:val="24"/>
          <w:szCs w:val="24"/>
          <w:u w:val="single"/>
          <w:lang w:eastAsia="el-GR"/>
        </w:rPr>
        <w:t>: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: 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Ελευθερία Καρδαρά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για το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ρόλο της Ελένης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«Λίρα 100» σε σύνθεση κειμένων και σκηνοθεσία της Γιούλης Μαρούση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εατρική ομάδα ‘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>ΘΕΑΤΡόPolice’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 w:val="false"/>
          <w:bCs w:val="false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Εύη Ρόμπου για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το ρόλο της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Διευθύντριας Σκηνής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την παράσταση «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‘Η άνοιξη’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0" w:after="0"/>
        <w:ind w:hanging="0" w:left="108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Το βραβείο απονέμεται στη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ν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Εύη Ρόμπου για το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ρόλο της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Διευθύντριας Σκηνής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για την παράσταση «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‘Η άνοιξη’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val="el-GR"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val="el-GR" w:eastAsia="el-GR"/>
        </w:rPr>
        <w:t>Βραβείο Ερμηνείας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val="el-GR"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val="el-GR"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Βραβείο ερμηνείας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απονέμεται στ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ην Γιούλη Σίψα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bookmarkStart w:id="27" w:name="_Hlk177992108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για την ερμηνεία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της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στο ρόλο τ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ου Γιατρού Φράνκ Γκίμπς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την παράσταση «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‘Η άνοιξη’</w:t>
      </w:r>
      <w:bookmarkEnd w:id="27"/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Βραβείο ερμηνείας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απονέμεται στην 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άντια Κόστα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για την ερμηνεία του Ρόλου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Τζο Κρόγουελ ο νεότερος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σ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την παράσταση «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‘Η άνοιξη’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>Βραβείο Σκηνοθεσίας: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Υποψήφιοι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: 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1)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Παναγιώτης Παναγόπουλος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για την παράσταση «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‘Η άνοιξη’ </w:t>
      </w:r>
    </w:p>
    <w:p>
      <w:pPr>
        <w:pStyle w:val="ListParagraph"/>
        <w:shd w:val="clear" w:color="auto" w:fill="FFFFFF"/>
        <w:spacing w:lineRule="auto" w:line="240" w:before="0" w:after="0"/>
        <w:ind w:hanging="0" w:left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      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Τάκης Τζαμαργιάς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για την παράσταση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«Η δικιά μας Μαργαρίτα» ελεύθερη απόδοση του διηγήματος “Μαργαρίτα Περδικάρη” του Δ.Χατζή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>από τη θεατρική ομάδα Πλους ‘Ε.Κ.Π.Α’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3)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Ευδοκία Σουβατζή</w:t>
      </w:r>
      <w:bookmarkStart w:id="28" w:name="_Hlk177992207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για την παράσταση </w:t>
      </w:r>
      <w:bookmarkEnd w:id="28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αυλή των θαυμάτων» του Ιάκωβου Καμπανέλλη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το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εατρικό εργαστήρι Σπάτων ‘ΣΚΗΝΟΒΑΤΕΣ’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4) Κατερίνα Μπλάτσου για την </w:t>
      </w:r>
      <w:bookmarkStart w:id="29" w:name="_Hlk177992277"/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παράσταση </w:t>
      </w:r>
      <w:bookmarkEnd w:id="29"/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 xml:space="preserve">«Η σπασμένη στάμνα» του Χάινριχ φον Κλάιστ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eastAsia="el-GR"/>
        </w:rPr>
        <w:t>εατρική Ομάδα Δήμου Παπάγου-Χολαργού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8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απονέμεται στον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 Παναγιώτη Παναγόπουλο για την παράσταση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 xml:space="preserve">«Η μικρή μας πόλη» του Θόρντον Ουάιλντερ 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από τη θ</w:t>
      </w: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  <w:t>εατρική ομάδα ‘Μοίρανθος’ του Συλλόγου Ανθέων ‘Η Άνοιξη’</w:t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Bookman Old Style"/>
          <w:b/>
          <w:bCs/>
          <w:sz w:val="24"/>
          <w:szCs w:val="24"/>
          <w:lang w:eastAsia="el-GR"/>
        </w:rPr>
      </w:pPr>
      <w:r>
        <w:rPr>
          <w:rFonts w:eastAsia="Times New Roman" w:cs="Bookman Old Style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  <w:t xml:space="preserve">Βραβείο καλύτερης παράστασης: 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Υποψήφιες 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είναι</w:t>
      </w: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>:</w:t>
      </w:r>
      <w:r>
        <w:rPr>
          <w:rFonts w:eastAsia="Times New Roman" w:cs="Arial" w:ascii="Bookman Old Style" w:hAnsi="Bookman Old Style"/>
          <w:sz w:val="24"/>
          <w:szCs w:val="24"/>
          <w:lang w:eastAsia="el-GR"/>
        </w:rPr>
        <w:t xml:space="preserve">  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1) «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Η μικρή μας Πόλη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» του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Θόρντον Ουάιλντερ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από τη θεατρική ομάδα ‘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Μοίρανθος’ του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συλλόγου 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>Ανθέων</w:t>
      </w: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 ‘Η άνοιξη’ 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 w:eastAsia="Times New Roman" w:cs="Arial"/>
          <w:b w:val="false"/>
          <w:bCs w:val="false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  <w:t xml:space="preserve">2)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 xml:space="preserve">«Η δικιά μας Μαργαρίτα» ελεύθερη απόδοση του διηγήματος “Μαργαρίτα Περδικάρη” του Δ.Χατζή </w:t>
      </w:r>
      <w:r>
        <w:rPr>
          <w:rFonts w:eastAsia="Times New Roman" w:cs="Bookman Old Style" w:ascii="Bookman Old Style" w:hAnsi="Bookman Old Style"/>
          <w:b w:val="false"/>
          <w:bCs w:val="false"/>
          <w:sz w:val="24"/>
          <w:szCs w:val="24"/>
          <w:lang w:val="el-GR" w:eastAsia="el-GR"/>
        </w:rPr>
        <w:t>από τη θεατρική ομάδα Πλους ‘Ε.Κ.Π.Α’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ascii="Bookman Old Style" w:hAnsi="Bookman Old Style"/>
          <w:b w:val="false"/>
          <w:bCs w:val="false"/>
          <w:sz w:val="24"/>
          <w:szCs w:val="24"/>
        </w:rPr>
      </w:pPr>
      <w:r>
        <w:rPr>
          <w:rFonts w:ascii="Bookman Old Style" w:hAnsi="Bookman Old Style"/>
          <w:b w:val="false"/>
          <w:bCs w:val="false"/>
          <w:sz w:val="24"/>
          <w:szCs w:val="24"/>
        </w:rPr>
        <w:t>3</w:t>
      </w:r>
      <w:r>
        <w:rPr>
          <w:rFonts w:ascii="Bookman Old Style" w:hAnsi="Bookman Old Style"/>
          <w:b w:val="false"/>
          <w:bCs w:val="false"/>
          <w:sz w:val="24"/>
          <w:szCs w:val="24"/>
        </w:rPr>
        <w:t xml:space="preserve">) </w:t>
      </w:r>
      <w:bookmarkStart w:id="30" w:name="%25_1_Αντίγραφο_1"/>
      <w:bookmarkEnd w:id="30"/>
      <w:r>
        <w:rPr>
          <w:rFonts w:cs="Bookman Old Style" w:ascii="Bookman Old Style" w:hAnsi="Bookman Old Style"/>
          <w:b w:val="false"/>
          <w:bCs w:val="false"/>
          <w:sz w:val="24"/>
          <w:szCs w:val="24"/>
        </w:rPr>
        <w:t xml:space="preserve">«Η σπασμένη στάμνα» του Χάινριχ φον Κλάιστ 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</w:rPr>
        <w:t>από τη θ</w:t>
      </w:r>
      <w:r>
        <w:rPr>
          <w:rFonts w:cs="Bookman Old Style" w:ascii="Bookman Old Style" w:hAnsi="Bookman Old Style"/>
          <w:b w:val="false"/>
          <w:bCs w:val="false"/>
          <w:sz w:val="24"/>
          <w:szCs w:val="24"/>
        </w:rPr>
        <w:t>εατρική Ομάδα Δήμου Παπάγου-Χολαργού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b w:val="false"/>
          <w:bCs w:val="false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 w:val="false"/>
          <w:bCs w:val="false"/>
          <w:sz w:val="24"/>
          <w:szCs w:val="24"/>
          <w:lang w:eastAsia="el-GR"/>
        </w:rPr>
      </w:r>
    </w:p>
    <w:p>
      <w:pPr>
        <w:pStyle w:val="ListParagraph"/>
        <w:numPr>
          <w:ilvl w:val="0"/>
          <w:numId w:val="9"/>
        </w:numPr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  <w:t xml:space="preserve">Το βραβείο απονέμεται στην παράσταση </w:t>
      </w:r>
      <w:r>
        <w:rPr>
          <w:rFonts w:ascii="Bookman Old Style" w:hAnsi="Bookman Old Style"/>
          <w:b/>
          <w:bCs/>
          <w:sz w:val="24"/>
          <w:szCs w:val="24"/>
        </w:rPr>
        <w:t>«</w:t>
      </w:r>
      <w:r>
        <w:rPr>
          <w:rFonts w:ascii="Bookman Old Style" w:hAnsi="Bookman Old Style"/>
          <w:b/>
          <w:bCs/>
          <w:sz w:val="24"/>
          <w:szCs w:val="24"/>
        </w:rPr>
        <w:t>Η μικρή μας Πόλη</w:t>
      </w:r>
      <w:r>
        <w:rPr>
          <w:rFonts w:ascii="Bookman Old Style" w:hAnsi="Bookman Old Style"/>
          <w:b/>
          <w:bCs/>
          <w:sz w:val="24"/>
          <w:szCs w:val="24"/>
        </w:rPr>
        <w:t xml:space="preserve">» του </w:t>
      </w:r>
      <w:r>
        <w:rPr>
          <w:rFonts w:ascii="Bookman Old Style" w:hAnsi="Bookman Old Style"/>
          <w:b/>
          <w:bCs/>
          <w:sz w:val="24"/>
          <w:szCs w:val="24"/>
        </w:rPr>
        <w:t>Θόρντον Ουάιλντερ</w:t>
      </w:r>
      <w:r>
        <w:rPr>
          <w:rFonts w:ascii="Bookman Old Style" w:hAnsi="Bookman Old Style"/>
          <w:b/>
          <w:bCs/>
          <w:sz w:val="24"/>
          <w:szCs w:val="24"/>
        </w:rPr>
        <w:t xml:space="preserve"> από τη θεατρική ομάδα ‘</w:t>
      </w:r>
      <w:r>
        <w:rPr>
          <w:rFonts w:ascii="Bookman Old Style" w:hAnsi="Bookman Old Style"/>
          <w:b/>
          <w:bCs/>
          <w:sz w:val="24"/>
          <w:szCs w:val="24"/>
        </w:rPr>
        <w:t>Μοίρανθος’ του</w:t>
      </w:r>
      <w:r>
        <w:rPr>
          <w:rFonts w:ascii="Bookman Old Style" w:hAnsi="Bookman Old Style"/>
          <w:b/>
          <w:bCs/>
          <w:sz w:val="24"/>
          <w:szCs w:val="24"/>
        </w:rPr>
        <w:t xml:space="preserve"> συλλόγου </w:t>
      </w:r>
      <w:r>
        <w:rPr>
          <w:rFonts w:ascii="Bookman Old Style" w:hAnsi="Bookman Old Style"/>
          <w:b/>
          <w:bCs/>
          <w:sz w:val="24"/>
          <w:szCs w:val="24"/>
        </w:rPr>
        <w:t>Ανθέων</w:t>
      </w:r>
      <w:r>
        <w:rPr>
          <w:rFonts w:ascii="Bookman Old Style" w:hAnsi="Bookman Old Style"/>
          <w:b/>
          <w:bCs/>
          <w:sz w:val="24"/>
          <w:szCs w:val="24"/>
        </w:rPr>
        <w:t xml:space="preserve"> ‘Η άνοιξη’ </w:t>
      </w:r>
    </w:p>
    <w:p>
      <w:pPr>
        <w:pStyle w:val="ListParagraph"/>
        <w:shd w:val="clear" w:color="auto" w:fill="FFFFFF"/>
        <w:spacing w:lineRule="auto" w:line="240" w:before="0" w:after="0"/>
        <w:ind w:left="144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rPr>
          <w:rFonts w:ascii="Bookman Old Style" w:hAnsi="Bookman Old Style" w:eastAsia="Times New Roman" w:cs="Arial"/>
          <w:b/>
          <w:bCs/>
          <w:sz w:val="24"/>
          <w:szCs w:val="24"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sz w:val="24"/>
          <w:szCs w:val="24"/>
          <w:u w:val="single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ascii="Bookman Old Style" w:hAnsi="Bookman Old Style" w:eastAsia="Times New Roman" w:cs="Arial"/>
          <w:sz w:val="24"/>
          <w:szCs w:val="24"/>
          <w:lang w:eastAsia="el-GR"/>
        </w:rPr>
      </w:pPr>
      <w:r>
        <w:rPr>
          <w:rFonts w:eastAsia="Times New Roman" w:cs="Arial" w:ascii="Bookman Old Style" w:hAnsi="Bookman Old Style"/>
          <w:sz w:val="24"/>
          <w:szCs w:val="24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rPr>
          <w:rFonts w:eastAsia="Times New Roman" w:cs="Arial"/>
          <w:b/>
          <w:bCs/>
          <w:u w:val="single"/>
          <w:lang w:eastAsia="el-GR"/>
        </w:rPr>
      </w:pPr>
      <w:r>
        <w:rPr>
          <w:rFonts w:eastAsia="Times New Roman" w:cs="Arial" w:ascii="Bookman Old Style" w:hAnsi="Bookman Old Style"/>
          <w:b/>
          <w:bCs/>
          <w:color w:val="222222"/>
          <w:sz w:val="24"/>
          <w:szCs w:val="24"/>
          <w:lang w:eastAsia="el-GR"/>
        </w:rPr>
      </w:r>
    </w:p>
    <w:p>
      <w:pPr>
        <w:pStyle w:val="ListParagraph"/>
        <w:shd w:val="clear" w:color="auto" w:fill="FFFFFF"/>
        <w:spacing w:lineRule="auto" w:line="240" w:before="0" w:after="0"/>
        <w:ind w:left="1080"/>
        <w:contextualSpacing/>
        <w:jc w:val="both"/>
        <w:rPr>
          <w:rFonts w:eastAsia="Times New Roman" w:cs="Arial"/>
          <w:b w:val="false"/>
          <w:bCs w:val="false"/>
          <w:lang w:eastAsia="el-GR"/>
        </w:rPr>
      </w:pPr>
      <w:r>
        <w:rPr>
          <w:rFonts w:ascii="Bookman Old Style" w:hAnsi="Bookman Old Style"/>
          <w:sz w:val="24"/>
          <w:szCs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a1"/>
    <w:family w:val="swiss"/>
    <w:pitch w:val="variable"/>
  </w:font>
  <w:font w:name="Bookman Old Style">
    <w:charset w:val="a1"/>
    <w:family w:val="roman"/>
    <w:pitch w:val="variable"/>
  </w:font>
  <w:font w:name="Bookman Old Style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Κουκκίδες"/>
    <w:qFormat/>
    <w:rPr>
      <w:rFonts w:ascii="OpenSymbol" w:hAnsi="OpenSymbol" w:eastAsia="OpenSymbol" w:cs="OpenSymbol"/>
    </w:rPr>
  </w:style>
  <w:style w:type="paragraph" w:styleId="Style15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Ευρετήριο"/>
    <w:basedOn w:val="Normal"/>
    <w:qFormat/>
    <w:pPr>
      <w:suppressLineNumbers/>
    </w:pPr>
    <w:rPr>
      <w:rFonts w:cs="Mangal"/>
    </w:rPr>
  </w:style>
  <w:style w:type="paragraph" w:styleId="user">
    <w:name w:val="Επικεφαλίδα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Ευρετήριο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d4f7a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numbering" w:styleId="user2" w:default="1">
    <w:name w:val="Χωρίς κατάλογο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LibreOffice/25.2.5.2$Windows_X86_64 LibreOffice_project/03d19516eb2e1dd5d4ccd751a0d6f35f35e08022</Application>
  <AppVersion>15.0000</AppVersion>
  <Pages>7</Pages>
  <Words>1429</Words>
  <Characters>8315</Characters>
  <CharactersWithSpaces>9810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2024-09-25T07:44:00Z</dcterms:created>
  <dc:creator>Antiproedros</dc:creator>
  <dc:description/>
  <dc:language>el-GR</dc:language>
  <cp:lastModifiedBy/>
  <cp:lastPrinted>2024-09-23T11:02:00Z</cp:lastPrinted>
  <dcterms:modified xsi:type="dcterms:W3CDTF">2025-09-18T12:25:57Z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